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21" w:rsidRDefault="00042721" w:rsidP="00042721">
      <w:pPr>
        <w:pStyle w:val="1"/>
      </w:pPr>
      <w:r>
        <w:t>(107-06-2)1，2-二氯乙烷的理化及危险特性表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629"/>
        <w:gridCol w:w="1887"/>
        <w:gridCol w:w="2170"/>
      </w:tblGrid>
      <w:tr w:rsidR="0004272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中文名：1,2-二氯乙烷；二氯乙烷（对称）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1,2-dichloroethane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Cl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分子量：98.97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184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 ；中闪点易燃液体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</w:t>
            </w:r>
            <w:r>
              <w:rPr>
                <w:rFonts w:ascii="宋体" w:hAnsi="宋体"/>
              </w:rPr>
              <w:t>32</w:t>
            </w:r>
            <w:r>
              <w:rPr>
                <w:rFonts w:ascii="宋体" w:hAnsi="宋体" w:hint="eastAsia"/>
              </w:rPr>
              <w:t>035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CAS号：107-06-2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bCs/>
              </w:rPr>
              <w:t>无色透明液体，有似乙醇和丙酮混合物的气味。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溶解性：微溶于水，可混溶于醇、醚、氯仿。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熔点（℃）：－35.7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沸点（℃）：83.5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相对密度（水＝1）：1.26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相对密度（空气＝1）：3.35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饱和蒸气压（kPa）：13.33(29.4℃)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燃烧热（kJ/mol）：1244.8</w:t>
            </w:r>
          </w:p>
        </w:tc>
      </w:tr>
      <w:tr w:rsidR="00042721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临界温度（℃）：290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临界压力（MPa）：5.36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闪点（℃）：13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爆炸下限（%）：6.2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爆炸上限（%）：16.0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引燃温度（℃）：413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燃烧分解产物：一氧化碳、二氧化碳、氯化氢、光气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强氧化剂、酸类、碱类。</w:t>
            </w:r>
          </w:p>
        </w:tc>
        <w:tc>
          <w:tcPr>
            <w:tcW w:w="4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</w:tr>
      <w:tr w:rsidR="00042721" w:rsidTr="0090435F">
        <w:trPr>
          <w:cantSplit/>
          <w:trHeight w:val="79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温能引起燃烧爆炸。受高热分解产生有毒的腐蚀烟气。与氧化剂接触发生反应。遇明火、高温引起燃烧，并放出有毒气体。其蒸气比空气重，能在较低处扩散到相当远的地方，遇火源会着火回燃。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：670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2800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：4050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7小时(大鼠吸入)；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IARC致癌性评论：动物阳性，人类可疑。</w:t>
            </w:r>
          </w:p>
        </w:tc>
      </w:tr>
      <w:tr w:rsidR="00042721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042721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眼睛及呼吸道有剌激作用；吸入可引起肺水肿；抑制中枢神经系统、剌激胃肠道和引起肝、肾和肾上腺损害。急性中毒：其表现有二种类型，一为头痛、恶心、兴奋、激动，严重者很快发生中枢神经系统抑制而死亡；另一类型以肠胃道症状为主，呕吐、腹痛、腹泻，严重者可发生肝坏死和肾病变。慢性影响：长期低浓度接触引起神经衰弱综合症和消化道症状。可致皮肤脱屑或皮炎。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皮肤接触：脱去被污染的衣着，用肥皂水和清水彻底冲洗皮肤，就医。   ※眼睛接触：提起眼睑，用流动清水或生理盐水冲洗，就医。   ※吸入：迅速脱离现场至空气新鲜处。保持呼吸道通畅。如呼吸困难，给输氧。如呼吸停止，立即进行人工呼吸，就医。    ※食入：洗胃，就医。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工程控制：密闭操作，局部排风。提供安全淋浴和洗眼设备。    ※呼吸系统防护：空气中浓度超标时，建议佩戴过滤式防毒面具（半面罩）。紧急事态抢救或撒离时，佩戴隔离式呼吸器。    ※眼睛防护：戴化学安全防护眼镜。   ※身体防护：穿防静电工作服。    ※手防护：戴橡胶手套。其他：工作现场禁止吸烟、进食和饮水。工作毕，淋浴更衣。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砂土或其它不燃烧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04272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042721" w:rsidRDefault="00042721" w:rsidP="0090435F">
            <w:pPr>
              <w:spacing w:line="26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721" w:rsidRDefault="00042721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保持容器密封。应与氧化剂分开存放。储存间内的照明、通风等设施应采用防爆型，开关设在仓外。配备相应品种和数量的消防器材。桶装堆垛不可过大，应留墙距、顶距、柱距及必要的防火检查走道。罐储时要有防火放爆技术措施。禁止使用易产生火花的机械设备和工具。定期检查是否的泄漏现象。灌装时应注意流速（不超过3m/s）,且有接地装置，防止静电积聚。搬运时要轻装轻卸，防止包装及容器破损。夏季应早晚运输，防止日光曝晒。运输按规定路线行驶，中途不得停驶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21"/>
    <w:rsid w:val="00042721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A48AB-5983-403C-ABC9-2B0381EE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42721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42721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>zyhq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2021-06-02T07:06:00Z</dcterms:created>
  <dcterms:modified xsi:type="dcterms:W3CDTF">2021-06-02T07:06:00Z</dcterms:modified>
</cp:coreProperties>
</file>